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</w:rPr>
      </w:pPr>
      <w:r>
        <w:rPr>
          <w:rFonts w:cs="Calibri" w:cstheme="minorHAnsi"/>
          <w:b/>
          <w:color w:val="222222"/>
          <w:sz w:val="24"/>
          <w:szCs w:val="24"/>
        </w:rPr>
        <w:t>TECNOLOGIA NA GESTÃO PÚBLICA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Calibri" w:cstheme="minorHAnsi"/>
          <w:sz w:val="24"/>
          <w:szCs w:val="24"/>
        </w:rPr>
        <w:t xml:space="preserve">A presente disciplina aborda a questão da relevância das tecnologias da informação e  comunicação (TICs) na gestão pública. </w:t>
      </w:r>
      <w:r>
        <w:rPr>
          <w:rFonts w:cs="Times New Roman"/>
          <w:b w:val="false"/>
          <w:bCs w:val="false"/>
          <w:sz w:val="24"/>
          <w:szCs w:val="24"/>
        </w:rPr>
        <w:t>Considerando a crescente adesão dos municípios ao ideário da tecnologização como forma de enfrentar os desafios na gestão e os problemas urbanos, a disciplina aborda de forma crítica a funcionalidade entre tecnologia e sociedade. Ser</w:t>
      </w:r>
      <w:r>
        <w:rPr>
          <w:sz w:val="24"/>
        </w:rPr>
        <w:t>á adotada uma abordagem que, a partir da perspectiva da construção social da tecnologia, pondera a formação de redes sociotécnicas que controlam e usam a tecnologia seja para a manutenção de relações hegemônicas seja para a emancipação social.</w:t>
      </w:r>
    </w:p>
    <w:p>
      <w:pPr>
        <w:pStyle w:val="Normal"/>
        <w:jc w:val="both"/>
        <w:rPr>
          <w:rFonts w:ascii="Calibri" w:hAnsi="Calibri" w:cs="Calibri" w:cstheme="minorHAnsi"/>
          <w:b/>
          <w:b/>
          <w:color w:val="222222"/>
          <w:sz w:val="24"/>
          <w:szCs w:val="24"/>
        </w:rPr>
      </w:pPr>
      <w:r>
        <w:rPr>
          <w:rFonts w:cs="Calibri" w:cstheme="minorHAnsi"/>
          <w:b/>
          <w:color w:val="222222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Tecnologia e Sociedade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>
          <w:rFonts w:eastAsia="Calibri" w:cs="" w:ascii="PT Serif;serif" w:hAnsi="PT Serif;serif" w:cstheme="minorBidi" w:eastAsiaTheme="minorHAnsi"/>
          <w:b w:val="false"/>
          <w:i w:val="false"/>
          <w:caps w:val="false"/>
          <w:smallCaps w:val="false"/>
          <w:color w:val="333333"/>
          <w:spacing w:val="0"/>
          <w:kern w:val="0"/>
          <w:sz w:val="22"/>
          <w:szCs w:val="22"/>
          <w:lang w:val="pt-BR" w:eastAsia="en-US" w:bidi="ar-SA"/>
        </w:rPr>
        <w:t xml:space="preserve">Kraus, L. (2022). Ciência, Tecnologia e Sociedade (CTS): contribuições para uma análise crítica da agenda de cidades inteligentes. Tematicas, Campinas, SP, v. 30, n. 60, p. 102–127, 2023. DOI: 10.20396/tematicas.v30i60.16176 </w:t>
      </w:r>
    </w:p>
    <w:p>
      <w:pPr>
        <w:pStyle w:val="Normal"/>
        <w:widowControl/>
        <w:bidi w:val="0"/>
        <w:spacing w:lineRule="auto" w:line="259" w:before="0" w:after="160"/>
        <w:jc w:val="both"/>
        <w:rPr>
          <w:b/>
          <w:b/>
          <w:bCs/>
        </w:rPr>
      </w:pPr>
      <w:r>
        <w:rPr>
          <w:b/>
          <w:bCs/>
        </w:rPr>
        <w:t>Cidade Inteligente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Morozov, Evgeny; Bria, Francesca (2018). A cidade inteligente: tecnologias urbanas e democracia. p. 6-36 (prefácio e capítulo 1 parte 1); 87-107 (cap. 6 e cap. 1 parte 2).</w:t>
      </w:r>
    </w:p>
    <w:p>
      <w:pPr>
        <w:pStyle w:val="Normal"/>
        <w:widowControl/>
        <w:bidi w:val="0"/>
        <w:spacing w:lineRule="auto" w:line="259" w:before="0" w:after="160"/>
        <w:jc w:val="both"/>
        <w:rPr>
          <w:b/>
          <w:b/>
          <w:bCs/>
        </w:rPr>
      </w:pPr>
      <w:r>
        <w:rPr>
          <w:b/>
          <w:bCs/>
        </w:rPr>
        <w:t>Aplicativos na gestão pública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Silva e Policarpo, 2014. Rede social, colaboração e mobilidade - o caso do aplicativo urbano Colab no Brasil. Revista Rua | Campinas | Número 20 – Volume II.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Moini, 2017. Participation, Neoliberalism and Depoliticisation of Public Action. SOCIETÀMUTAMENTOPOLITICA, vol. 8, n. 15, pp. 129-145</w:t>
      </w:r>
    </w:p>
    <w:p>
      <w:pPr>
        <w:pStyle w:val="Normal"/>
        <w:widowControl/>
        <w:bidi w:val="0"/>
        <w:spacing w:lineRule="auto" w:line="259" w:before="0" w:after="160"/>
        <w:jc w:val="both"/>
        <w:rPr>
          <w:b/>
          <w:b/>
          <w:bCs/>
        </w:rPr>
      </w:pPr>
      <w:r>
        <w:rPr>
          <w:b/>
          <w:bCs/>
        </w:rPr>
        <w:t>Dados na gestão pública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 xml:space="preserve">Kitchin, R., Lauriault, T. P., &amp; McArdle, G. (2015). Knowing and governing cities through urban indicators, city benchmarking and real-time dashboards. Regional Studies, Regional Science, 2(1), 6–28. </w:t>
      </w:r>
      <w:hyperlink r:id="rId2">
        <w:r>
          <w:rPr>
            <w:rStyle w:val="LinkdaInternet"/>
          </w:rPr>
          <w:t>https://doi.org/10.1080/21681376.2014.983149</w:t>
        </w:r>
      </w:hyperlink>
    </w:p>
    <w:p>
      <w:pPr>
        <w:pStyle w:val="Normal"/>
        <w:widowControl/>
        <w:bidi w:val="0"/>
        <w:spacing w:lineRule="auto" w:line="259" w:before="0" w:after="160"/>
        <w:jc w:val="both"/>
        <w:rPr>
          <w:b/>
          <w:b/>
          <w:bCs/>
        </w:rPr>
      </w:pPr>
      <w:r>
        <w:rPr>
          <w:b/>
          <w:bCs/>
        </w:rPr>
        <w:t>Tecnologia, dados e direito à cidade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MEIJER, Albert; POTJER, Suzanne. Citizen-generated open data: a public governance perspective. Government Information Quarterly, v. 34, ed. 3, p. 613-621, outubro 2018. Disponível em: https://cutt.ly/SovBl9Y</w:t>
      </w:r>
    </w:p>
    <w:p>
      <w:pPr>
        <w:pStyle w:val="Normal"/>
        <w:widowControl/>
        <w:bidi w:val="0"/>
        <w:spacing w:lineRule="auto" w:line="259" w:before="0" w:after="160"/>
        <w:jc w:val="both"/>
        <w:rPr>
          <w:b/>
          <w:b/>
          <w:bCs/>
        </w:rPr>
      </w:pPr>
      <w:r>
        <w:rPr>
          <w:b/>
          <w:bCs/>
        </w:rPr>
        <w:t>Tecnologia e poder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 xml:space="preserve">Reia e Cruz, 2023. Cidades inteligentes no Brasil: conexões entre poder corporativo, direitos e engajamento cívico. Disponível em: </w:t>
      </w:r>
      <w:hyperlink r:id="rId3">
        <w:r>
          <w:rPr>
            <w:rStyle w:val="LinkdaInternet"/>
          </w:rPr>
          <w:t>https://revistas.pucsp.br/index.php/metropole/article/view/58979/42005</w:t>
        </w:r>
      </w:hyperlink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FIRMINO, R. J. Securitização, Vigilância e Territorialização em Espaços Públicos na Cidade Neoliberal. Risco: Revista de Pesquisa em Arquitetura e Urbanismo (online), v. 15, p. 23-35, 2017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T Serif">
    <w:altName w:val="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c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e6044"/>
    <w:rPr>
      <w:color w:val="0563C1" w:themeColor="hyperlink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732e1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232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080/21681376.2014.983149" TargetMode="External"/><Relationship Id="rId3" Type="http://schemas.openxmlformats.org/officeDocument/2006/relationships/hyperlink" Target="https://revistas.pucsp.br/index.php/metropole/article/view/58979/4200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LibreOffice/7.4.2.3$Windows_X86_64 LibreOffice_project/382eef1f22670f7f4118c8c2dd222ec7ad009daf</Application>
  <AppVersion>15.0000</AppVersion>
  <Pages>1</Pages>
  <Words>318</Words>
  <Characters>1997</Characters>
  <CharactersWithSpaces>2300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2019-10-16T22:48:00Z</dcterms:created>
  <dc:creator>LabEspaço</dc:creator>
  <dc:description/>
  <dc:language>pt-BR</dc:language>
  <cp:lastModifiedBy/>
  <cp:lastPrinted>2023-10-04T14:26:27Z</cp:lastPrinted>
  <dcterms:modified xsi:type="dcterms:W3CDTF">2023-10-04T14:51:33Z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